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A88C" w14:textId="77777777" w:rsidR="00A04B7C" w:rsidRPr="0041738F" w:rsidRDefault="00A04B7C" w:rsidP="00A04B7C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41738F">
        <w:rPr>
          <w:rFonts w:ascii="Arial" w:eastAsia="Arial" w:hAnsi="Arial" w:cs="Arial"/>
          <w:b/>
          <w:sz w:val="24"/>
          <w:szCs w:val="24"/>
          <w:lang w:val="pt-BR"/>
        </w:rPr>
        <w:t>GRUPO AD HOC OEA MERCOSUL (GAH OEA)</w:t>
      </w:r>
    </w:p>
    <w:p w14:paraId="7091A7DF" w14:textId="77777777" w:rsidR="00A04B7C" w:rsidRPr="0041738F" w:rsidRDefault="00A04B7C" w:rsidP="00A04B7C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1738F">
        <w:rPr>
          <w:rFonts w:ascii="Arial" w:hAnsi="Arial" w:cs="Arial"/>
          <w:b/>
          <w:sz w:val="24"/>
          <w:szCs w:val="24"/>
          <w:lang w:val="pt-BR"/>
        </w:rPr>
        <w:t>COMITÊ TÉCNICO Nº 2 – “ASSUNTOS ADUANEIROS E FACILITAÇÃO DO COMÉRCIO” DA COMISSÃO DE COMÉRCIO DO MERCOSUL</w:t>
      </w:r>
    </w:p>
    <w:p w14:paraId="1EE20BE1" w14:textId="77777777" w:rsidR="00A87A4B" w:rsidRDefault="00A87A4B" w:rsidP="00A87A4B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0EE7680" w14:textId="77777777" w:rsidR="00FC08A7" w:rsidRPr="00A04B7C" w:rsidRDefault="00FC08A7" w:rsidP="00A87A4B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AJUDA MEMÓRIA</w:t>
      </w:r>
    </w:p>
    <w:p w14:paraId="3744FC72" w14:textId="77777777" w:rsidR="00A87A4B" w:rsidRDefault="00BC6EFF" w:rsidP="008C519D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C519D">
        <w:rPr>
          <w:rFonts w:ascii="Arial" w:eastAsia="Arial" w:hAnsi="Arial" w:cs="Arial"/>
          <w:b/>
          <w:sz w:val="24"/>
          <w:szCs w:val="24"/>
          <w:lang w:val="pt-BR"/>
        </w:rPr>
        <w:t>ATA</w:t>
      </w:r>
      <w:r w:rsidR="00F82244" w:rsidRPr="008C519D">
        <w:rPr>
          <w:rFonts w:ascii="Arial" w:eastAsia="Arial" w:hAnsi="Arial" w:cs="Arial"/>
          <w:b/>
          <w:sz w:val="24"/>
          <w:szCs w:val="24"/>
          <w:lang w:val="pt-BR"/>
        </w:rPr>
        <w:t xml:space="preserve"> 0</w:t>
      </w:r>
      <w:r w:rsidR="00DA6D49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F82244" w:rsidRPr="008C519D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6C956320" w14:textId="77777777" w:rsidR="008C519D" w:rsidRPr="008C519D" w:rsidRDefault="008C519D" w:rsidP="008C519D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A08A7EE" w14:textId="77777777" w:rsidR="00A04B7C" w:rsidRPr="008C519D" w:rsidRDefault="00A04B7C" w:rsidP="008C519D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C519D">
        <w:rPr>
          <w:rFonts w:ascii="Arial" w:eastAsia="Arial" w:hAnsi="Arial" w:cs="Arial"/>
          <w:sz w:val="24"/>
          <w:szCs w:val="24"/>
          <w:lang w:val="pt-BR"/>
        </w:rPr>
        <w:t xml:space="preserve">No dia 5 de agosto de 2025, foi realizada uma reunião por videoconferência entre os Coordenadores do </w:t>
      </w:r>
      <w:r w:rsidRPr="008C519D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Grupo </w:t>
      </w:r>
      <w:proofErr w:type="spellStart"/>
      <w:r w:rsidRPr="008C519D">
        <w:rPr>
          <w:rFonts w:ascii="Arial" w:eastAsia="Arial" w:hAnsi="Arial" w:cs="Arial"/>
          <w:b/>
          <w:bCs/>
          <w:sz w:val="24"/>
          <w:szCs w:val="24"/>
          <w:lang w:val="pt-BR"/>
        </w:rPr>
        <w:t>Ad-Hoc</w:t>
      </w:r>
      <w:proofErr w:type="spellEnd"/>
      <w:r w:rsidRPr="008C519D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OEA MERCOSUL (GAH-OEA),</w:t>
      </w:r>
      <w:r w:rsidRPr="008C519D">
        <w:rPr>
          <w:rFonts w:ascii="Arial" w:eastAsia="Arial" w:hAnsi="Arial" w:cs="Arial"/>
          <w:sz w:val="24"/>
          <w:szCs w:val="24"/>
          <w:lang w:val="pt-BR"/>
        </w:rPr>
        <w:t xml:space="preserve"> com a participação das delegações da Argentina, Bolívia, Brasil, Paraguai e Uruguai.</w:t>
      </w:r>
    </w:p>
    <w:p w14:paraId="791F1F1D" w14:textId="77777777" w:rsidR="00A04B7C" w:rsidRPr="008C519D" w:rsidRDefault="00A04B7C" w:rsidP="008C519D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C519D">
        <w:rPr>
          <w:rFonts w:ascii="Arial" w:eastAsia="Arial" w:hAnsi="Arial" w:cs="Arial"/>
          <w:sz w:val="24"/>
          <w:szCs w:val="24"/>
          <w:lang w:val="pt-BR"/>
        </w:rPr>
        <w:t xml:space="preserve">A lista de participantes consta no </w:t>
      </w:r>
      <w:r w:rsidRPr="008C519D">
        <w:rPr>
          <w:rFonts w:ascii="Arial" w:eastAsia="Arial" w:hAnsi="Arial" w:cs="Arial"/>
          <w:b/>
          <w:bCs/>
          <w:sz w:val="24"/>
          <w:szCs w:val="24"/>
          <w:lang w:val="pt-BR"/>
        </w:rPr>
        <w:t>Anexo I.</w:t>
      </w:r>
    </w:p>
    <w:p w14:paraId="39F98A94" w14:textId="77777777" w:rsidR="00A04B7C" w:rsidRDefault="00A04B7C" w:rsidP="008C519D">
      <w:pPr>
        <w:spacing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8C519D">
        <w:rPr>
          <w:rFonts w:ascii="Arial" w:eastAsia="Arial" w:hAnsi="Arial" w:cs="Arial"/>
          <w:sz w:val="24"/>
          <w:szCs w:val="24"/>
          <w:lang w:val="pt-BR"/>
        </w:rPr>
        <w:t xml:space="preserve">A pauta da reunião consta no </w:t>
      </w:r>
      <w:r w:rsidRPr="008C519D">
        <w:rPr>
          <w:rFonts w:ascii="Arial" w:eastAsia="Arial" w:hAnsi="Arial" w:cs="Arial"/>
          <w:b/>
          <w:bCs/>
          <w:sz w:val="24"/>
          <w:szCs w:val="24"/>
          <w:lang w:val="pt-BR"/>
        </w:rPr>
        <w:t>Anexo II.</w:t>
      </w:r>
    </w:p>
    <w:p w14:paraId="35463119" w14:textId="77777777" w:rsidR="008C519D" w:rsidRPr="008C519D" w:rsidRDefault="008C519D" w:rsidP="008C519D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0D6640C" w14:textId="77777777" w:rsidR="00A87A4B" w:rsidRPr="008C519D" w:rsidRDefault="00A04B7C" w:rsidP="008C519D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C519D">
        <w:rPr>
          <w:rFonts w:ascii="Arial" w:eastAsia="Arial" w:hAnsi="Arial" w:cs="Arial"/>
          <w:sz w:val="24"/>
          <w:szCs w:val="24"/>
          <w:lang w:val="pt-BR"/>
        </w:rPr>
        <w:t>Durante a reunião, as delegações trataram dos seguintes temas:</w:t>
      </w:r>
    </w:p>
    <w:p w14:paraId="1BC903A4" w14:textId="77777777" w:rsidR="00A04B7C" w:rsidRPr="008C519D" w:rsidRDefault="00A04B7C" w:rsidP="008C519D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99D77E8" w14:textId="77777777" w:rsidR="00104717" w:rsidRPr="008C519D" w:rsidRDefault="00F82244" w:rsidP="008C51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 xml:space="preserve">1. </w:t>
      </w:r>
      <w:r w:rsidR="001401B4"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Situação dos Programas OEA do Mercosul – atualização geral sobre o estado dos programas nos países membros.</w:t>
      </w:r>
    </w:p>
    <w:p w14:paraId="790DC423" w14:textId="77777777" w:rsidR="00496A05" w:rsidRDefault="001401B4" w:rsidP="008C51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Quanto ao estado atual dos respectivos programas OEA, as delegações </w:t>
      </w:r>
      <w:r w:rsidR="00496A05">
        <w:rPr>
          <w:rFonts w:ascii="Arial" w:eastAsia="Arial" w:hAnsi="Arial" w:cs="Arial"/>
          <w:color w:val="000000"/>
          <w:sz w:val="24"/>
          <w:szCs w:val="24"/>
          <w:lang w:val="pt-BR"/>
        </w:rPr>
        <w:t>informaram as seguintes atualizações.</w:t>
      </w:r>
    </w:p>
    <w:p w14:paraId="202A7026" w14:textId="77777777" w:rsidR="00496A05" w:rsidRPr="00584A53" w:rsidRDefault="00496A05" w:rsidP="00496A0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color w:val="000000"/>
          <w:sz w:val="24"/>
          <w:szCs w:val="24"/>
          <w:lang w:val="pt-BR"/>
        </w:rPr>
        <w:t>A Delegação Brasileira informou que está reformulando seu Programa OEA com o objetivo de ampliar a agilidade e a eficiência no processo de validação, por meio da automatização de etapas e da realização de testes com uso de inteligência artificial. Além disso, está promovendo uma reestruturação em sua equipe de trabalho, destacando-se a mudança na Gerência de Acordos de Reconhecimento Mútuo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(ARM)</w:t>
      </w:r>
      <w:r w:rsidRPr="008C519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que passou a ser conduzida por Mark Tollemache, em substituição a Kelly Cristina Silva Morgero. </w:t>
      </w:r>
      <w:r w:rsidRPr="00584A53">
        <w:rPr>
          <w:rFonts w:ascii="Arial" w:eastAsia="Arial" w:hAnsi="Arial" w:cs="Arial"/>
          <w:color w:val="000000"/>
          <w:sz w:val="24"/>
          <w:szCs w:val="24"/>
          <w:lang w:val="pt-BR"/>
        </w:rPr>
        <w:t>Mark, atualmente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Pr="00584A53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também exerce a função de Coordenador do SCTCOF.</w:t>
      </w:r>
    </w:p>
    <w:p w14:paraId="171D17FB" w14:textId="77777777" w:rsidR="00496A05" w:rsidRPr="008C519D" w:rsidRDefault="00496A05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O objetivo dessa mudança é justamente aproximar a G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AH OEA</w:t>
      </w:r>
      <w:r w:rsidRPr="008C519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das operações de fronteira, promovendo a implementação efetiva de benefícios aos operadores OEA nas regiões fronteiriças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 apoio do SCTCOF</w:t>
      </w:r>
      <w:r w:rsidRPr="008C519D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22DB82C" w14:textId="77777777" w:rsidR="00066C8D" w:rsidRDefault="00066C8D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Adicionalmente, a Delegação Brasileira comunicou que, após a finalização da greve dos servidores da Receita Federal, as atividades do Programa OEA foram retomadas e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o objetivo é</w:t>
      </w:r>
      <w:r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reduzir o passivo de validações acumuladas. Informou também que estão sendo desenvolvidas inovações tecnológicas, incluindo o uso de inteligência artificial para análise dos questionários de autoavaliação, com o objetivo de agilizar o processo de validação e permitir maior foco nas auditorias presenciais.</w:t>
      </w:r>
    </w:p>
    <w:p w14:paraId="780C903C" w14:textId="2DC8A94D" w:rsidR="00220655" w:rsidRDefault="00220655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20655">
        <w:rPr>
          <w:rFonts w:ascii="Arial" w:eastAsia="Arial" w:hAnsi="Arial" w:cs="Arial"/>
          <w:sz w:val="24"/>
          <w:szCs w:val="24"/>
          <w:lang w:val="pt-BR"/>
        </w:rPr>
        <w:t xml:space="preserve">A representante da Argentina informou que o país está atualmente em fase de regulamentação de um decreto destinado a incorporar as agências de controle transfronteiriço no processo de concessão de benefícios do Programa OEA. </w:t>
      </w:r>
    </w:p>
    <w:p w14:paraId="63722D4E" w14:textId="75B9E82A" w:rsidR="00496A05" w:rsidRPr="00496A05" w:rsidRDefault="00496A05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96A05">
        <w:rPr>
          <w:rFonts w:ascii="Arial" w:eastAsia="Arial" w:hAnsi="Arial" w:cs="Arial"/>
          <w:sz w:val="24"/>
          <w:szCs w:val="24"/>
          <w:lang w:val="pt-BR"/>
        </w:rPr>
        <w:t>A Representante do Paraguai destacou a visita a uma empresa líder exportadora que está em processo de certificação e possui certificação no Brasil. Informou que está reformulando o questionário de autoavaliação, atualizando procedimentos e unificando a aplicação dos critérios do SAFE Framework. O objetivo é agilizar os trâmites de certificação e ampliar os benefícios, especialmente nas fronteiras.</w:t>
      </w:r>
    </w:p>
    <w:p w14:paraId="2E40EFC4" w14:textId="77777777" w:rsidR="00496A05" w:rsidRDefault="00496A05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96A05">
        <w:rPr>
          <w:rFonts w:ascii="Arial" w:eastAsia="Arial" w:hAnsi="Arial" w:cs="Arial"/>
          <w:sz w:val="24"/>
          <w:szCs w:val="24"/>
          <w:lang w:val="pt-BR"/>
        </w:rPr>
        <w:t>A Representante do Uruguai comunicou a incorporação de novos operadores certificados, incluindo empresas do setor frigorífico</w:t>
      </w:r>
      <w:r w:rsidR="001B7965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496A05">
        <w:rPr>
          <w:rFonts w:ascii="Arial" w:eastAsia="Arial" w:hAnsi="Arial" w:cs="Arial"/>
          <w:sz w:val="24"/>
          <w:szCs w:val="24"/>
          <w:lang w:val="pt-BR"/>
        </w:rPr>
        <w:t xml:space="preserve"> exportadoras de grãos</w:t>
      </w:r>
      <w:r w:rsidR="001B7965">
        <w:rPr>
          <w:rFonts w:ascii="Arial" w:eastAsia="Arial" w:hAnsi="Arial" w:cs="Arial"/>
          <w:sz w:val="24"/>
          <w:szCs w:val="24"/>
          <w:lang w:val="pt-BR"/>
        </w:rPr>
        <w:t>,</w:t>
      </w:r>
      <w:r w:rsidRPr="00496A05">
        <w:rPr>
          <w:rFonts w:ascii="Arial" w:eastAsia="Arial" w:hAnsi="Arial" w:cs="Arial"/>
          <w:sz w:val="24"/>
          <w:szCs w:val="24"/>
          <w:lang w:val="pt-BR"/>
        </w:rPr>
        <w:t xml:space="preserve"> e do setor automotivo (veículos leves e caminhões)</w:t>
      </w:r>
      <w:r w:rsidR="001B7965">
        <w:rPr>
          <w:rFonts w:ascii="Arial" w:eastAsia="Arial" w:hAnsi="Arial" w:cs="Arial"/>
          <w:sz w:val="24"/>
          <w:szCs w:val="24"/>
          <w:lang w:val="pt-BR"/>
        </w:rPr>
        <w:t xml:space="preserve"> em processo de certificação</w:t>
      </w:r>
      <w:r w:rsidRPr="00496A05">
        <w:rPr>
          <w:rFonts w:ascii="Arial" w:eastAsia="Arial" w:hAnsi="Arial" w:cs="Arial"/>
          <w:sz w:val="24"/>
          <w:szCs w:val="24"/>
          <w:lang w:val="pt-BR"/>
        </w:rPr>
        <w:t>. Está em curso a ampliação do número de certificados e a retomada do comitê consultivo com o setor privado, com foco na identificação de benefícios relevantes e na integração de outros órgãos de controle ao Programa OEA.</w:t>
      </w:r>
    </w:p>
    <w:p w14:paraId="0C3AF14C" w14:textId="518F220C" w:rsidR="00496A05" w:rsidRPr="00496A05" w:rsidRDefault="00496A05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O Representante da</w:t>
      </w:r>
      <w:r w:rsidRPr="00496A05">
        <w:rPr>
          <w:rFonts w:ascii="Arial" w:eastAsia="Arial" w:hAnsi="Arial" w:cs="Arial"/>
          <w:sz w:val="24"/>
          <w:szCs w:val="24"/>
          <w:lang w:val="pt-BR"/>
        </w:rPr>
        <w:t xml:space="preserve"> Bolívia informou que</w:t>
      </w:r>
      <w:r w:rsidR="0022065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496A05">
        <w:rPr>
          <w:rFonts w:ascii="Arial" w:eastAsia="Arial" w:hAnsi="Arial" w:cs="Arial"/>
          <w:sz w:val="24"/>
          <w:szCs w:val="24"/>
          <w:lang w:val="pt-BR"/>
        </w:rPr>
        <w:t xml:space="preserve">vem implementando um novo regulamento aprovado em 10 de dezembro de 2024. Com base </w:t>
      </w:r>
      <w:r w:rsidR="00066C8D">
        <w:rPr>
          <w:rFonts w:ascii="Arial" w:eastAsia="Arial" w:hAnsi="Arial" w:cs="Arial"/>
          <w:sz w:val="24"/>
          <w:szCs w:val="24"/>
          <w:lang w:val="pt-BR"/>
        </w:rPr>
        <w:t xml:space="preserve">em novas </w:t>
      </w:r>
      <w:r w:rsidRPr="00496A05">
        <w:rPr>
          <w:rFonts w:ascii="Arial" w:eastAsia="Arial" w:hAnsi="Arial" w:cs="Arial"/>
          <w:sz w:val="24"/>
          <w:szCs w:val="24"/>
          <w:lang w:val="pt-BR"/>
        </w:rPr>
        <w:t xml:space="preserve">resoluções, o país retomou a emissão de certificações para operadores de comércio exterior que haviam apresentado solicitações anteriormente. Como novidade, foi destacado o desenvolvimento de um novo sistema informatizado exclusivo para o Programa OEA, </w:t>
      </w:r>
      <w:r w:rsidRPr="00496A05">
        <w:rPr>
          <w:rFonts w:ascii="Arial" w:eastAsia="Arial" w:hAnsi="Arial" w:cs="Arial"/>
          <w:sz w:val="24"/>
          <w:szCs w:val="24"/>
          <w:lang w:val="pt-BR"/>
        </w:rPr>
        <w:lastRenderedPageBreak/>
        <w:t>com previsão de entrada em operação até o final de 2025, substituindo o sistema em uso desde 2015. A expectativa é de que</w:t>
      </w:r>
      <w:r w:rsidR="0022065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496A05">
        <w:rPr>
          <w:rFonts w:ascii="Arial" w:eastAsia="Arial" w:hAnsi="Arial" w:cs="Arial"/>
          <w:sz w:val="24"/>
          <w:szCs w:val="24"/>
          <w:lang w:val="pt-BR"/>
        </w:rPr>
        <w:t>aumente significativamente o número de operadores certificados, incluindo despachantes, importadores, consolidadores, empresas de courier e transportadoras internacionais. Além disso, foi aprovado em 30 de abril de 2025 um manual interno de procedimentos, com base no novo regulamento, que orienta as equipes técnicas na análise e certificação dos operadores, garantindo mais clareza, padronização e agilidade aos processos.</w:t>
      </w:r>
    </w:p>
    <w:p w14:paraId="4C47A1D6" w14:textId="77777777" w:rsidR="000F527E" w:rsidRPr="008C519D" w:rsidRDefault="000F527E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7318758A" w14:textId="77777777" w:rsidR="000F527E" w:rsidRPr="008C519D" w:rsidRDefault="00F82244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 xml:space="preserve">2. </w:t>
      </w:r>
      <w:r w:rsidR="000F527E"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Verificação da necessidade de atualização da matriz comparativa dos Programas OEA e do Marco SAFE da OMA</w:t>
      </w:r>
    </w:p>
    <w:p w14:paraId="0C62376E" w14:textId="77777777" w:rsidR="00066C8D" w:rsidRPr="00066C8D" w:rsidRDefault="00066C8D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t>Conforme deliberado na reunião de 11 de março de 2025, todas as delegações acordaram atualizar a matriz comparativa dos Programas OEA, considerando o tempo decorrido desde a assinatura do Acordo de Reconhecimento Mútuo (ARM). A iniciativa tem como objetivo promover o intercâmbio de boas práticas e assegurar a manutenção da compatibilidade entre os programas dos países do bloco. Ficou estabelecido que a nova versão da matriz deverá ser concluída antes da próxima reunião do grupo.</w:t>
      </w:r>
    </w:p>
    <w:p w14:paraId="2EF53A06" w14:textId="77777777" w:rsidR="00066C8D" w:rsidRPr="00066C8D" w:rsidRDefault="00066C8D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t>A Delegação Brasileira informou que encaminhou suas informações atualizadas em 24 de março de 2025 e solicitou esclarecimentos à Coordenação da Argentina quanto ao andamento do trabalho. Em resposta, a Coordenação Argentina indicou que não recebeu informações suficientes das demais aduanas e, por esse motivo, ainda não realizou a atualização. Reforçou, contudo, a importância de dar continuidade ao processo, conforme pactuado.</w:t>
      </w:r>
    </w:p>
    <w:p w14:paraId="10BFC176" w14:textId="47852A67" w:rsidR="00066C8D" w:rsidRPr="00066C8D" w:rsidRDefault="00066C8D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Delegação do Uruguai também manifestou que está aguardando o envio consolidado dos dados para prosseguir com sua parte na atualização. Foi destacado que a nova versão da matriz poderá incorporar, além dos elementos previstos no Marco SAFE, </w:t>
      </w:r>
      <w:r w:rsidR="00005C92">
        <w:rPr>
          <w:rFonts w:ascii="Arial" w:eastAsia="Arial" w:hAnsi="Arial" w:cs="Arial"/>
          <w:color w:val="000000"/>
          <w:sz w:val="24"/>
          <w:szCs w:val="24"/>
          <w:lang w:val="pt-BR"/>
        </w:rPr>
        <w:t>outros</w:t>
      </w:r>
      <w:r w:rsidR="0022065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4C17D7" w:rsidRPr="004C17D7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critérios de segurança incorporados na versão de requisitos </w:t>
      </w:r>
      <w:r w:rsidR="0018581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OEC para </w:t>
      </w:r>
      <w:r w:rsidR="00220655">
        <w:rPr>
          <w:rFonts w:ascii="Arial" w:eastAsia="Arial" w:hAnsi="Arial" w:cs="Arial"/>
          <w:color w:val="000000"/>
          <w:sz w:val="24"/>
          <w:szCs w:val="24"/>
          <w:lang w:val="pt-BR"/>
        </w:rPr>
        <w:t>ser</w:t>
      </w:r>
      <w:r w:rsidR="00220655"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compartilhados</w:t>
      </w:r>
      <w:r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como boas práticas entre as administrações.</w:t>
      </w:r>
    </w:p>
    <w:p w14:paraId="276D9812" w14:textId="77777777" w:rsidR="00066C8D" w:rsidRPr="00066C8D" w:rsidRDefault="00066C8D" w:rsidP="00F82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66C8D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As delegações acordaram em encaminhar suas informações atualizadas à Coordenação Brasileira até o final de setembro de 2025, para que a matriz comparativa possa ser consolidada e apresentada formalmente na próxima reunião do grupo.</w:t>
      </w:r>
    </w:p>
    <w:p w14:paraId="326FB9F7" w14:textId="77777777" w:rsidR="000F527E" w:rsidRPr="008C519D" w:rsidRDefault="000F527E" w:rsidP="00F82D5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033E00E4" w14:textId="77777777" w:rsidR="00E510DA" w:rsidRPr="008C519D" w:rsidRDefault="00E510DA" w:rsidP="008C519D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3.</w:t>
      </w:r>
      <w:r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ab/>
        <w:t>Atualização sobre o Intercâmbio de informações OEA – Projeto B-CONNECT.</w:t>
      </w:r>
    </w:p>
    <w:p w14:paraId="7CB4DB3A" w14:textId="77777777" w:rsidR="00513A16" w:rsidRPr="00513A16" w:rsidRDefault="00513A16" w:rsidP="00513A16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Em conformidade com o deliberado na reunião de 11 de março de 2025, as delegações de Argentina, Brasil, Paraguai e Uruguai iniciaram a implementação do Projeto B-CONNECT a partir de 1º de abril de 2025. O plano previa um período inicial de monitoramento por meio do envio de planilhas em formato Excel, utilizadas apenas como solução de contingência. A Bolívia, por sua vez, comprometeu-se a iniciar o envio das planilhas em abril, com previsão de migrar futuramente para o sistema eletrônico, após a conclusão da adequação de seus sistemas internos.</w:t>
      </w:r>
    </w:p>
    <w:p w14:paraId="414B4D50" w14:textId="77777777" w:rsidR="00513A16" w:rsidRPr="00513A16" w:rsidRDefault="00513A16" w:rsidP="00513A16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Contudo, até a presente data, o sistema B-CONNECT registrou o recebimento de transações apenas das delegações do Brasil, Paraguai e Uruguai. Não foram identificadas transações oriundas da Argentina, o que levou a Delegação Brasileira a propor um diagnóstico técnico para identificar possíveis entraves ou falhas de compatibilidade no envio por parte da Argentina. Também foi sugerida a possibilidade de uma reunião técnica específica, com a participação dos representantes das áreas de tecnologia e da SCT PAI, com o objetivo de alinhar procedimentos e garantir o correto funcionamento do sistema.</w:t>
      </w:r>
    </w:p>
    <w:p w14:paraId="00E1CF9B" w14:textId="77777777" w:rsidR="00513A16" w:rsidRPr="00513A16" w:rsidRDefault="00513A16" w:rsidP="00513A16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Em resposta, a Coordenação da Argentina informou que, até então, considerava que os dados estavam sendo transmitidos normalmente a todas as aduanas, mas reconheceu a necessidade de consultar sua equipe técnica para verificar eventuais falhas no envio ao Brasil. A Aduana do Uruguai confirmou que está emitindo dados, mas apontou a ocorrência de algumas dificuldades pontuais relacionadas ao recebimento por parte de outros países. A Delegação Paraguaia afirmou que as transmissões estão ocorrendo sem qualquer problema técnico identificado até o momento.</w:t>
      </w:r>
    </w:p>
    <w:p w14:paraId="71E6231B" w14:textId="77777777" w:rsidR="008C519D" w:rsidRDefault="00513A16" w:rsidP="00513A16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Além disso, foi sugerida a criação de relatórios periódicos mais completos para monitoramento do intercâmbio, com informações detalhadas sobre o volume, frequência, consistência e integridade dos dados transmitidos, respeitando os critérios de segurança e sigilo. As delegações concordaram com a importância da proposta e a necessidade de fortalecer os mecanismos de verificação para assegurar a efetividade do Projeto B-CONNECT.</w:t>
      </w:r>
    </w:p>
    <w:p w14:paraId="24DDACAF" w14:textId="77777777" w:rsidR="00513A16" w:rsidRPr="008C519D" w:rsidRDefault="00513A16" w:rsidP="00513A16">
      <w:p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</w:pPr>
    </w:p>
    <w:p w14:paraId="67368DEA" w14:textId="77777777" w:rsidR="00104717" w:rsidRPr="008C519D" w:rsidRDefault="002B444F" w:rsidP="008C519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4. Projetos-piloto para implementação de benefícios aos OEA nas Áreas de Controle Integrado (ACI).</w:t>
      </w:r>
    </w:p>
    <w:p w14:paraId="32EF29C4" w14:textId="77777777" w:rsidR="00513A16" w:rsidRPr="00513A16" w:rsidRDefault="00513A16" w:rsidP="00513A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Na reunião de 11 de março de 2025, as delegações de Argentina, Brasil, Paraguai e Uruguai acordaram selecionar um ponto de fronteira por país para iniciar projetos-piloto de implementação dos benefícios previstos no Acordo de Reconhecimento Mútuo (ARM) nas Áreas de Controle Integrado (ACI</w:t>
      </w:r>
      <w:proofErr w:type="gramStart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).O</w:t>
      </w:r>
      <w:proofErr w:type="gramEnd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Brasil propôs, adicionalmente, a inclusão de transportadores certificados OEA nos projetos. A Bolívia informou que avaliar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ia</w:t>
      </w: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sua participação após finalizar sua reorganização interna e retomada plena de suas atividades no âmbito do Mercosul. As delegações concordaram que os projetos devem seguir cronogramas bilaterais e os avanços serão reportados periodicamente ao grupo.</w:t>
      </w:r>
    </w:p>
    <w:p w14:paraId="1C22234A" w14:textId="77777777" w:rsidR="00513A16" w:rsidRDefault="00513A16" w:rsidP="00513A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Em seguimento à deliberação anterior, os representantes do GAH OEA do Brasil e do Paraguai, em conjunto com suas coordenações no SCTCOF, propuseram a implementação de um projeto-piloto na ACI Foz do Iguaçu–</w:t>
      </w:r>
      <w:proofErr w:type="spellStart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Ciudaddel</w:t>
      </w:r>
      <w:proofErr w:type="spellEnd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Este. A proposta baseia-se em manifestações favoráveis do setor privado, que identificou como altamente relevante a entrada preferencial de operadores OEA nos recintos alfandegados.</w:t>
      </w:r>
    </w:p>
    <w:p w14:paraId="64B0949D" w14:textId="330D7BF6" w:rsidR="00513A16" w:rsidRPr="00513A16" w:rsidRDefault="00513A16" w:rsidP="00513A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Segundo os relatos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realizada na última Reunião Bilateral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Brasil-Paraguai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SCTCOF </w:t>
      </w:r>
      <w:r w:rsidR="00220655">
        <w:rPr>
          <w:rFonts w:ascii="Arial" w:eastAsia="Arial" w:hAnsi="Arial" w:cs="Arial"/>
          <w:color w:val="000000"/>
          <w:sz w:val="24"/>
          <w:szCs w:val="24"/>
          <w:lang w:val="pt-BR"/>
        </w:rPr>
        <w:t>na ACI</w:t>
      </w: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Foz do Iguaçu–</w:t>
      </w:r>
      <w:proofErr w:type="spellStart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Ciudaddel</w:t>
      </w:r>
      <w:proofErr w:type="spellEnd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Este, operadores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OEA</w:t>
      </w: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conseguem acessar o recinto e concluir os procedimentos no mesmo dia, enquanto os demais enfrentam filas de até três dias, o que se configura como forte incentivo à certificação. Brasil e Paraguai concordaram em realizar levantamento conjunto de benefícios adicionais possíveis de </w:t>
      </w: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implementação, respeitando os limites legais de cada país, e divulgar esses avanços junto aos operadores para fomentar a adesão ao programa.</w:t>
      </w:r>
    </w:p>
    <w:p w14:paraId="654236DB" w14:textId="77777777" w:rsidR="00513A16" w:rsidRPr="00513A16" w:rsidRDefault="00513A16" w:rsidP="00513A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No caso da fronteira </w:t>
      </w:r>
      <w:proofErr w:type="spellStart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Brasil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-</w:t>
      </w: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Uruguai</w:t>
      </w:r>
      <w:proofErr w:type="spellEnd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, os representantes do GAH OEA propuseram iniciar o projeto-piloto na ACI Jaguarão–Rio Branco, onde a empresa Multilog, administradora do recinto, já implementa práticas voltadas ao tratamento diferenciado de operadores OEA. Embora o benefício de entrada preferencial tenha impacto mais limitado nesse ponto de fronteira (devido à menor fila), foram identificadas oportunidades de testar outros tipos de benefícios, como prioridade na inspeção física e maior agilidade na apresentação documental. A Delegação Brasileira aguarda o envio de um relatório técnico por parte da associação local de operadores, que detalhará os benefícios desejados.</w:t>
      </w:r>
    </w:p>
    <w:p w14:paraId="383F5802" w14:textId="77777777" w:rsidR="00513A16" w:rsidRPr="00513A16" w:rsidRDefault="00513A16" w:rsidP="00513A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Com relação à fronteira Brasil–Argentina, a Delegação Brasileira convidou a Argentina a estabelecer um projeto-piloto conjunto e sugeriu a ACI Dionísio Cerqueira–Bernardo de </w:t>
      </w:r>
      <w:proofErr w:type="spellStart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Irigoyen</w:t>
      </w:r>
      <w:proofErr w:type="spellEnd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como ponto inicial, em razão das restrições operacionais atualmente enfrentadas em outras </w:t>
      </w:r>
      <w:proofErr w:type="spellStart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ACIs</w:t>
      </w:r>
      <w:proofErr w:type="spellEnd"/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. A Coordenação Argentina indicou que, no momento, não há operadores OEA argentinos que utilizem essa passagem, mas comprometeu-se a acompanhar a iniciativa como observadora e apoiadora técnica. Ficou acordado que a definição de um ponto mais viável será discutida em reunião bilateral específica. Também foi destacada a possibilidade de coordenação com o SCTCOF para alinhar os projetos-piloto às ações de integração já em curso nas cabeceiras de fronteira</w:t>
      </w:r>
      <w:r w:rsidR="00506DE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Brasil-Argentina</w:t>
      </w: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1202681" w14:textId="77777777" w:rsidR="00513A16" w:rsidRPr="00513A16" w:rsidRDefault="00513A16" w:rsidP="00513A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Por fim, a Delegação Brasileira informou que está prevista para 4 de setembro de 2025 uma reunião presencial com a Delegação Boliviana em Corumbá (BR) e Puerto Suárez (BO), oportunidade na qual será feita uma visita técnica conjunta. O objetivo é </w:t>
      </w:r>
      <w:r w:rsidR="00506DE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também </w:t>
      </w: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iniciar o diálogo sobre a implementação de benefícios OEA naquela fronteira, com participação do setor privado local. A Bolívia manifestou interesse na iniciativa e informou que consultará seus supervisores técnicos e autoridades competentes para avaliar a viabilidade da participação no encontro e nos projetos em desenvolvimento.</w:t>
      </w:r>
    </w:p>
    <w:p w14:paraId="797224A3" w14:textId="77777777" w:rsidR="00C46EE9" w:rsidRPr="008C519D" w:rsidRDefault="00C46EE9" w:rsidP="008C51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2AF47222" w14:textId="77777777" w:rsidR="001644FB" w:rsidRDefault="00F82244" w:rsidP="008C519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</w:pPr>
      <w:r w:rsidRPr="008C519D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lastRenderedPageBreak/>
        <w:t>5. Demais Temas</w:t>
      </w:r>
    </w:p>
    <w:p w14:paraId="7ECB51FF" w14:textId="77777777" w:rsidR="00513A16" w:rsidRPr="00513A16" w:rsidRDefault="00513A16" w:rsidP="008C519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13A16">
        <w:rPr>
          <w:rFonts w:ascii="Arial" w:eastAsia="Arial" w:hAnsi="Arial" w:cs="Arial"/>
          <w:color w:val="000000"/>
          <w:sz w:val="24"/>
          <w:szCs w:val="24"/>
          <w:lang w:val="pt-BR"/>
        </w:rPr>
        <w:t>Sem nenhum tema adicional, deu-se por encerrada a reunião.</w:t>
      </w:r>
    </w:p>
    <w:p w14:paraId="5915A70F" w14:textId="77777777" w:rsidR="00A87A4B" w:rsidRPr="00FC08A7" w:rsidRDefault="00A87A4B" w:rsidP="008C51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2EB6DB5E" w14:textId="77777777" w:rsidR="00A87A4B" w:rsidRPr="00FC08A7" w:rsidRDefault="00A87A4B" w:rsidP="008C51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380A74B9" w14:textId="77777777" w:rsidR="00F82244" w:rsidRPr="00FC08A7" w:rsidRDefault="00F82244" w:rsidP="008C519D">
      <w:pP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FC08A7">
        <w:rPr>
          <w:rFonts w:ascii="Arial" w:eastAsia="Arial" w:hAnsi="Arial" w:cs="Arial"/>
          <w:b/>
          <w:sz w:val="24"/>
          <w:szCs w:val="24"/>
          <w:lang w:val="pt-BR"/>
        </w:rPr>
        <w:br w:type="page"/>
      </w:r>
    </w:p>
    <w:sectPr w:rsidR="00F82244" w:rsidRPr="00FC08A7" w:rsidSect="008F4F16">
      <w:headerReference w:type="default" r:id="rId8"/>
      <w:pgSz w:w="12240" w:h="15840"/>
      <w:pgMar w:top="1965" w:right="1183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12A68" w14:textId="77777777" w:rsidR="00374FA6" w:rsidRDefault="00374FA6" w:rsidP="008F4F16">
      <w:pPr>
        <w:spacing w:after="0" w:line="240" w:lineRule="auto"/>
      </w:pPr>
      <w:r>
        <w:separator/>
      </w:r>
    </w:p>
  </w:endnote>
  <w:endnote w:type="continuationSeparator" w:id="0">
    <w:p w14:paraId="1DEC16D1" w14:textId="77777777" w:rsidR="00374FA6" w:rsidRDefault="00374FA6" w:rsidP="008F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fa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CA037" w14:textId="77777777" w:rsidR="00374FA6" w:rsidRDefault="00374FA6" w:rsidP="008F4F16">
      <w:pPr>
        <w:spacing w:after="0" w:line="240" w:lineRule="auto"/>
      </w:pPr>
      <w:r>
        <w:separator/>
      </w:r>
    </w:p>
  </w:footnote>
  <w:footnote w:type="continuationSeparator" w:id="0">
    <w:p w14:paraId="3A8C39CA" w14:textId="77777777" w:rsidR="00374FA6" w:rsidRDefault="00374FA6" w:rsidP="008F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CD4D" w14:textId="77777777" w:rsidR="00D02B78" w:rsidRDefault="00D02B78">
    <w:pPr>
      <w:pStyle w:val="Encabezado1"/>
      <w:tabs>
        <w:tab w:val="clear" w:pos="4419"/>
        <w:tab w:val="clear" w:pos="8838"/>
        <w:tab w:val="left" w:pos="6600"/>
      </w:tabs>
    </w:pPr>
    <w:r>
      <w:rPr>
        <w:noProof/>
        <w:lang w:val="es-PY" w:eastAsia="es-PY"/>
      </w:rPr>
      <w:drawing>
        <wp:inline distT="0" distB="0" distL="0" distR="0" wp14:anchorId="24FD14CD" wp14:editId="1C13C9E0">
          <wp:extent cx="10477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PY" w:eastAsia="es-PY"/>
      </w:rPr>
      <w:drawing>
        <wp:anchor distT="0" distB="0" distL="0" distR="0" simplePos="0" relativeHeight="8" behindDoc="1" locked="0" layoutInCell="1" allowOverlap="1" wp14:anchorId="3E346234" wp14:editId="7AA837D5">
          <wp:simplePos x="0" y="0"/>
          <wp:positionH relativeFrom="column">
            <wp:posOffset>4570730</wp:posOffset>
          </wp:positionH>
          <wp:positionV relativeFrom="paragraph">
            <wp:posOffset>-78105</wp:posOffset>
          </wp:positionV>
          <wp:extent cx="1059815" cy="610870"/>
          <wp:effectExtent l="0" t="0" r="0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FF5"/>
    <w:multiLevelType w:val="multilevel"/>
    <w:tmpl w:val="BAA62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56912"/>
    <w:multiLevelType w:val="multilevel"/>
    <w:tmpl w:val="6E1200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155211"/>
    <w:multiLevelType w:val="hybridMultilevel"/>
    <w:tmpl w:val="368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5517"/>
    <w:multiLevelType w:val="multilevel"/>
    <w:tmpl w:val="C34AA90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1D3C4C1E"/>
    <w:multiLevelType w:val="multilevel"/>
    <w:tmpl w:val="CC3CBF28"/>
    <w:lvl w:ilvl="0">
      <w:start w:val="1"/>
      <w:numFmt w:val="decimal"/>
      <w:lvlText w:val="%1."/>
      <w:lvlJc w:val="left"/>
      <w:pPr>
        <w:ind w:left="-1080" w:hanging="360"/>
      </w:p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1F8147CF"/>
    <w:multiLevelType w:val="hybridMultilevel"/>
    <w:tmpl w:val="33AE20A8"/>
    <w:lvl w:ilvl="0" w:tplc="F992FA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A279EA"/>
    <w:multiLevelType w:val="hybridMultilevel"/>
    <w:tmpl w:val="B7C20B4C"/>
    <w:lvl w:ilvl="0" w:tplc="5178B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D2700"/>
    <w:multiLevelType w:val="multilevel"/>
    <w:tmpl w:val="EBE66DC2"/>
    <w:lvl w:ilvl="0">
      <w:start w:val="1"/>
      <w:numFmt w:val="decimal"/>
      <w:lvlText w:val="%1."/>
      <w:lvlJc w:val="left"/>
      <w:pPr>
        <w:ind w:left="-1080" w:hanging="360"/>
      </w:p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7CA775AD"/>
    <w:multiLevelType w:val="multilevel"/>
    <w:tmpl w:val="61D80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97048255">
    <w:abstractNumId w:val="4"/>
  </w:num>
  <w:num w:numId="2" w16cid:durableId="1702971901">
    <w:abstractNumId w:val="0"/>
  </w:num>
  <w:num w:numId="3" w16cid:durableId="215045965">
    <w:abstractNumId w:val="7"/>
  </w:num>
  <w:num w:numId="4" w16cid:durableId="988511620">
    <w:abstractNumId w:val="1"/>
  </w:num>
  <w:num w:numId="5" w16cid:durableId="323244098">
    <w:abstractNumId w:val="8"/>
  </w:num>
  <w:num w:numId="6" w16cid:durableId="1711103997">
    <w:abstractNumId w:val="3"/>
  </w:num>
  <w:num w:numId="7" w16cid:durableId="248657044">
    <w:abstractNumId w:val="5"/>
  </w:num>
  <w:num w:numId="8" w16cid:durableId="2045591373">
    <w:abstractNumId w:val="6"/>
  </w:num>
  <w:num w:numId="9" w16cid:durableId="124232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16"/>
    <w:rsid w:val="00003390"/>
    <w:rsid w:val="00005095"/>
    <w:rsid w:val="00005C92"/>
    <w:rsid w:val="00014086"/>
    <w:rsid w:val="00027EAB"/>
    <w:rsid w:val="0004051F"/>
    <w:rsid w:val="00042D1C"/>
    <w:rsid w:val="000476ED"/>
    <w:rsid w:val="00052449"/>
    <w:rsid w:val="00066C8D"/>
    <w:rsid w:val="00066D21"/>
    <w:rsid w:val="000823A4"/>
    <w:rsid w:val="00091A36"/>
    <w:rsid w:val="000A7058"/>
    <w:rsid w:val="000B024D"/>
    <w:rsid w:val="000B0506"/>
    <w:rsid w:val="000B6C21"/>
    <w:rsid w:val="000C4AA1"/>
    <w:rsid w:val="000C7E07"/>
    <w:rsid w:val="000D6B75"/>
    <w:rsid w:val="000F04DC"/>
    <w:rsid w:val="000F527E"/>
    <w:rsid w:val="00100E5F"/>
    <w:rsid w:val="00104717"/>
    <w:rsid w:val="00117DE3"/>
    <w:rsid w:val="00131F18"/>
    <w:rsid w:val="00134439"/>
    <w:rsid w:val="00134E88"/>
    <w:rsid w:val="00135539"/>
    <w:rsid w:val="001401B4"/>
    <w:rsid w:val="0015217F"/>
    <w:rsid w:val="001644FB"/>
    <w:rsid w:val="001648C6"/>
    <w:rsid w:val="00170EAF"/>
    <w:rsid w:val="0017794E"/>
    <w:rsid w:val="0018581D"/>
    <w:rsid w:val="00186A4E"/>
    <w:rsid w:val="001973AE"/>
    <w:rsid w:val="001A0882"/>
    <w:rsid w:val="001A1909"/>
    <w:rsid w:val="001A3BBC"/>
    <w:rsid w:val="001B7965"/>
    <w:rsid w:val="001C475D"/>
    <w:rsid w:val="001D6503"/>
    <w:rsid w:val="001F2243"/>
    <w:rsid w:val="00200B17"/>
    <w:rsid w:val="0020254B"/>
    <w:rsid w:val="0020797A"/>
    <w:rsid w:val="00214774"/>
    <w:rsid w:val="00217405"/>
    <w:rsid w:val="00220655"/>
    <w:rsid w:val="00225047"/>
    <w:rsid w:val="002250F5"/>
    <w:rsid w:val="00254A08"/>
    <w:rsid w:val="00272B4F"/>
    <w:rsid w:val="002745BA"/>
    <w:rsid w:val="00285D33"/>
    <w:rsid w:val="00285EAF"/>
    <w:rsid w:val="002B1A22"/>
    <w:rsid w:val="002B444F"/>
    <w:rsid w:val="002B6C0F"/>
    <w:rsid w:val="002D5106"/>
    <w:rsid w:val="002F0390"/>
    <w:rsid w:val="002F1518"/>
    <w:rsid w:val="00332D5F"/>
    <w:rsid w:val="00334E5D"/>
    <w:rsid w:val="00343990"/>
    <w:rsid w:val="003737F9"/>
    <w:rsid w:val="00374FA6"/>
    <w:rsid w:val="00381D45"/>
    <w:rsid w:val="00393A84"/>
    <w:rsid w:val="004125A5"/>
    <w:rsid w:val="004354E1"/>
    <w:rsid w:val="00436FED"/>
    <w:rsid w:val="00457424"/>
    <w:rsid w:val="004679A9"/>
    <w:rsid w:val="004742D9"/>
    <w:rsid w:val="00496A05"/>
    <w:rsid w:val="0049729B"/>
    <w:rsid w:val="004A5432"/>
    <w:rsid w:val="004B0BC5"/>
    <w:rsid w:val="004C17D7"/>
    <w:rsid w:val="004C4CA2"/>
    <w:rsid w:val="004F4B57"/>
    <w:rsid w:val="00503E68"/>
    <w:rsid w:val="00506DE0"/>
    <w:rsid w:val="00513A16"/>
    <w:rsid w:val="00522B7A"/>
    <w:rsid w:val="00533319"/>
    <w:rsid w:val="00583527"/>
    <w:rsid w:val="00584A53"/>
    <w:rsid w:val="00593BA9"/>
    <w:rsid w:val="005A23D4"/>
    <w:rsid w:val="005B6D5D"/>
    <w:rsid w:val="005B7FE2"/>
    <w:rsid w:val="005C25FC"/>
    <w:rsid w:val="005C6F99"/>
    <w:rsid w:val="005D6BF6"/>
    <w:rsid w:val="006021FB"/>
    <w:rsid w:val="0064553C"/>
    <w:rsid w:val="006A7DF7"/>
    <w:rsid w:val="006B5645"/>
    <w:rsid w:val="006E117D"/>
    <w:rsid w:val="00704C7F"/>
    <w:rsid w:val="007131CF"/>
    <w:rsid w:val="00714D93"/>
    <w:rsid w:val="00725149"/>
    <w:rsid w:val="007345B7"/>
    <w:rsid w:val="00743C0C"/>
    <w:rsid w:val="0074777A"/>
    <w:rsid w:val="00756965"/>
    <w:rsid w:val="00795148"/>
    <w:rsid w:val="007A29B4"/>
    <w:rsid w:val="007B5D2F"/>
    <w:rsid w:val="007C43EA"/>
    <w:rsid w:val="007D5B6F"/>
    <w:rsid w:val="007E522C"/>
    <w:rsid w:val="0080763B"/>
    <w:rsid w:val="00833453"/>
    <w:rsid w:val="00833BF6"/>
    <w:rsid w:val="008363F5"/>
    <w:rsid w:val="0086527A"/>
    <w:rsid w:val="008703D4"/>
    <w:rsid w:val="008860D5"/>
    <w:rsid w:val="0089341C"/>
    <w:rsid w:val="00896F20"/>
    <w:rsid w:val="008A7D05"/>
    <w:rsid w:val="008B5038"/>
    <w:rsid w:val="008C3BC1"/>
    <w:rsid w:val="008C519D"/>
    <w:rsid w:val="008D0A1D"/>
    <w:rsid w:val="008E3DEE"/>
    <w:rsid w:val="008F4F16"/>
    <w:rsid w:val="008F5B63"/>
    <w:rsid w:val="008F5C99"/>
    <w:rsid w:val="00906922"/>
    <w:rsid w:val="00925AFE"/>
    <w:rsid w:val="009300E0"/>
    <w:rsid w:val="0093787E"/>
    <w:rsid w:val="00943A7B"/>
    <w:rsid w:val="0094688B"/>
    <w:rsid w:val="00963A16"/>
    <w:rsid w:val="00976DB6"/>
    <w:rsid w:val="009A5011"/>
    <w:rsid w:val="009B4F12"/>
    <w:rsid w:val="009D2CD2"/>
    <w:rsid w:val="009D4FF4"/>
    <w:rsid w:val="009D7453"/>
    <w:rsid w:val="009D7DA5"/>
    <w:rsid w:val="009E1E0C"/>
    <w:rsid w:val="00A02298"/>
    <w:rsid w:val="00A0308D"/>
    <w:rsid w:val="00A04B7C"/>
    <w:rsid w:val="00A20B6F"/>
    <w:rsid w:val="00A34F5C"/>
    <w:rsid w:val="00A40BEF"/>
    <w:rsid w:val="00A46805"/>
    <w:rsid w:val="00A6630A"/>
    <w:rsid w:val="00A67984"/>
    <w:rsid w:val="00A72F9F"/>
    <w:rsid w:val="00A74946"/>
    <w:rsid w:val="00A77BDE"/>
    <w:rsid w:val="00A87A4B"/>
    <w:rsid w:val="00A95D09"/>
    <w:rsid w:val="00AA5B30"/>
    <w:rsid w:val="00AB6061"/>
    <w:rsid w:val="00AE015F"/>
    <w:rsid w:val="00B14709"/>
    <w:rsid w:val="00B247C2"/>
    <w:rsid w:val="00B258FA"/>
    <w:rsid w:val="00B27622"/>
    <w:rsid w:val="00B510BF"/>
    <w:rsid w:val="00B617D6"/>
    <w:rsid w:val="00B70790"/>
    <w:rsid w:val="00B84583"/>
    <w:rsid w:val="00B91F61"/>
    <w:rsid w:val="00B960F8"/>
    <w:rsid w:val="00B9657E"/>
    <w:rsid w:val="00BA2E82"/>
    <w:rsid w:val="00BC2313"/>
    <w:rsid w:val="00BC3467"/>
    <w:rsid w:val="00BC63C9"/>
    <w:rsid w:val="00BC6EFF"/>
    <w:rsid w:val="00BD40BD"/>
    <w:rsid w:val="00BE49FA"/>
    <w:rsid w:val="00BF4E1F"/>
    <w:rsid w:val="00C257E7"/>
    <w:rsid w:val="00C46EE9"/>
    <w:rsid w:val="00C71F6D"/>
    <w:rsid w:val="00C74BCE"/>
    <w:rsid w:val="00C86E8A"/>
    <w:rsid w:val="00C9516C"/>
    <w:rsid w:val="00C952EE"/>
    <w:rsid w:val="00CA2736"/>
    <w:rsid w:val="00CC177A"/>
    <w:rsid w:val="00CD2E28"/>
    <w:rsid w:val="00CE4E6F"/>
    <w:rsid w:val="00D02B78"/>
    <w:rsid w:val="00D173C2"/>
    <w:rsid w:val="00D327D7"/>
    <w:rsid w:val="00D3407A"/>
    <w:rsid w:val="00D402F2"/>
    <w:rsid w:val="00D545F4"/>
    <w:rsid w:val="00D55588"/>
    <w:rsid w:val="00D579EF"/>
    <w:rsid w:val="00D60F19"/>
    <w:rsid w:val="00D61814"/>
    <w:rsid w:val="00D664F7"/>
    <w:rsid w:val="00D7676A"/>
    <w:rsid w:val="00D808B0"/>
    <w:rsid w:val="00D94816"/>
    <w:rsid w:val="00DA6D49"/>
    <w:rsid w:val="00DD4A66"/>
    <w:rsid w:val="00E510DA"/>
    <w:rsid w:val="00E57BB8"/>
    <w:rsid w:val="00E935DA"/>
    <w:rsid w:val="00EB3B79"/>
    <w:rsid w:val="00EB5C63"/>
    <w:rsid w:val="00EE23DF"/>
    <w:rsid w:val="00EE4C24"/>
    <w:rsid w:val="00EE7911"/>
    <w:rsid w:val="00F06852"/>
    <w:rsid w:val="00F37CDB"/>
    <w:rsid w:val="00F47A3D"/>
    <w:rsid w:val="00F72346"/>
    <w:rsid w:val="00F82244"/>
    <w:rsid w:val="00F82D58"/>
    <w:rsid w:val="00F96213"/>
    <w:rsid w:val="00F970D8"/>
    <w:rsid w:val="00FC08A7"/>
    <w:rsid w:val="00FC32D9"/>
    <w:rsid w:val="00FE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4CEE9"/>
  <w15:docId w15:val="{2A0E6649-B13C-42E9-A182-71175A8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4D"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E37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18408F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18408F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E3FC9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E27C21"/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0B6AF2"/>
    <w:rPr>
      <w:rFonts w:ascii="Century Gothic" w:hAnsi="Century Gothic" w:cs="Times New Roman"/>
      <w:sz w:val="20"/>
      <w:szCs w:val="20"/>
      <w:lang w:val="es-CO"/>
    </w:rPr>
  </w:style>
  <w:style w:type="character" w:customStyle="1" w:styleId="EnlacedeInternet">
    <w:name w:val="Enlace de Internet"/>
    <w:basedOn w:val="Fuentedeprrafopredeter"/>
    <w:uiPriority w:val="99"/>
    <w:unhideWhenUsed/>
    <w:rsid w:val="00906DF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37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Textoindependiente"/>
    <w:qFormat/>
    <w:rsid w:val="008F4F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F4F16"/>
    <w:pPr>
      <w:spacing w:after="140" w:line="276" w:lineRule="auto"/>
    </w:pPr>
  </w:style>
  <w:style w:type="paragraph" w:styleId="Lista">
    <w:name w:val="List"/>
    <w:basedOn w:val="Textoindependiente"/>
    <w:rsid w:val="008F4F16"/>
    <w:rPr>
      <w:rFonts w:cs="Arial"/>
    </w:rPr>
  </w:style>
  <w:style w:type="paragraph" w:customStyle="1" w:styleId="Descripcin1">
    <w:name w:val="Descripción1"/>
    <w:basedOn w:val="Normal"/>
    <w:qFormat/>
    <w:rsid w:val="008F4F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F4F16"/>
    <w:pPr>
      <w:suppressLineNumbers/>
    </w:pPr>
    <w:rPr>
      <w:rFonts w:cs="Arial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063F"/>
    <w:pPr>
      <w:ind w:left="720"/>
      <w:contextualSpacing/>
    </w:pPr>
  </w:style>
  <w:style w:type="paragraph" w:customStyle="1" w:styleId="Cabeceraypie">
    <w:name w:val="Cabecera y pie"/>
    <w:basedOn w:val="Normal"/>
    <w:qFormat/>
    <w:rsid w:val="008F4F16"/>
  </w:style>
  <w:style w:type="paragraph" w:customStyle="1" w:styleId="Encabezado1">
    <w:name w:val="Encabezado1"/>
    <w:basedOn w:val="Normal"/>
    <w:link w:val="EncabezadoCar"/>
    <w:uiPriority w:val="99"/>
    <w:unhideWhenUsed/>
    <w:rsid w:val="0018408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18408F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E3F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">
    <w:name w:val="MS바탕글"/>
    <w:basedOn w:val="Normal"/>
    <w:qFormat/>
    <w:rsid w:val="000B6AF2"/>
    <w:pPr>
      <w:snapToGrid w:val="0"/>
      <w:spacing w:after="0" w:line="384" w:lineRule="auto"/>
      <w:jc w:val="both"/>
    </w:pPr>
    <w:rPr>
      <w:rFonts w:ascii="Malgun Gothic" w:eastAsia="Times New Roman" w:hAnsi="Malgun Gothic" w:cs="Gulimfalt"/>
      <w:color w:val="000000"/>
      <w:sz w:val="20"/>
      <w:szCs w:val="20"/>
      <w:lang w:eastAsia="ko-KR"/>
    </w:rPr>
  </w:style>
  <w:style w:type="paragraph" w:customStyle="1" w:styleId="xxmsonormal">
    <w:name w:val="x_x_msonormal"/>
    <w:basedOn w:val="Normal"/>
    <w:qFormat/>
    <w:rsid w:val="000B6A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0B6AF2"/>
    <w:pPr>
      <w:spacing w:after="0" w:line="240" w:lineRule="auto"/>
    </w:pPr>
    <w:rPr>
      <w:rFonts w:ascii="Century Gothic" w:hAnsi="Century Gothic" w:cs="Times New Roman"/>
      <w:sz w:val="20"/>
      <w:szCs w:val="20"/>
      <w:lang w:val="es-CO"/>
    </w:rPr>
  </w:style>
  <w:style w:type="paragraph" w:styleId="TtuloTDC">
    <w:name w:val="TOC Heading"/>
    <w:basedOn w:val="Ttulo11"/>
    <w:next w:val="Normal"/>
    <w:uiPriority w:val="39"/>
    <w:unhideWhenUsed/>
    <w:qFormat/>
    <w:rsid w:val="00E37B7F"/>
    <w:pPr>
      <w:spacing w:line="276" w:lineRule="auto"/>
    </w:pPr>
    <w:rPr>
      <w:lang w:val="es-ES"/>
    </w:rPr>
  </w:style>
  <w:style w:type="paragraph" w:customStyle="1" w:styleId="TDC21">
    <w:name w:val="TDC 21"/>
    <w:basedOn w:val="Normal"/>
    <w:next w:val="Normal"/>
    <w:autoRedefine/>
    <w:uiPriority w:val="39"/>
    <w:semiHidden/>
    <w:unhideWhenUsed/>
    <w:qFormat/>
    <w:rsid w:val="00E37B7F"/>
    <w:pPr>
      <w:spacing w:after="100" w:line="276" w:lineRule="auto"/>
      <w:ind w:left="220"/>
    </w:pPr>
    <w:rPr>
      <w:rFonts w:eastAsiaTheme="minorEastAsia"/>
      <w:lang w:val="es-ES"/>
    </w:rPr>
  </w:style>
  <w:style w:type="paragraph" w:customStyle="1" w:styleId="TDC11">
    <w:name w:val="TDC 11"/>
    <w:basedOn w:val="Normal"/>
    <w:next w:val="Normal"/>
    <w:autoRedefine/>
    <w:uiPriority w:val="39"/>
    <w:semiHidden/>
    <w:unhideWhenUsed/>
    <w:qFormat/>
    <w:rsid w:val="00E37B7F"/>
    <w:pPr>
      <w:spacing w:after="100" w:line="276" w:lineRule="auto"/>
    </w:pPr>
    <w:rPr>
      <w:rFonts w:eastAsiaTheme="minorEastAsia"/>
      <w:lang w:val="es-ES"/>
    </w:rPr>
  </w:style>
  <w:style w:type="paragraph" w:customStyle="1" w:styleId="TDC31">
    <w:name w:val="TDC 31"/>
    <w:basedOn w:val="Normal"/>
    <w:next w:val="Normal"/>
    <w:autoRedefine/>
    <w:uiPriority w:val="39"/>
    <w:semiHidden/>
    <w:unhideWhenUsed/>
    <w:qFormat/>
    <w:rsid w:val="00E37B7F"/>
    <w:pPr>
      <w:spacing w:after="100" w:line="276" w:lineRule="auto"/>
      <w:ind w:left="440"/>
    </w:pPr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0B6AF2"/>
    <w:rPr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4F16"/>
    <w:rPr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4F16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510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D0A1D"/>
    <w:rPr>
      <w:sz w:val="22"/>
    </w:rPr>
  </w:style>
  <w:style w:type="paragraph" w:styleId="Encabezado">
    <w:name w:val="header"/>
    <w:basedOn w:val="Normal"/>
    <w:link w:val="EncabezadoCar1"/>
    <w:uiPriority w:val="99"/>
    <w:semiHidden/>
    <w:unhideWhenUsed/>
    <w:rsid w:val="00886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8860D5"/>
    <w:rPr>
      <w:sz w:val="22"/>
    </w:rPr>
  </w:style>
  <w:style w:type="paragraph" w:styleId="Piedepgina">
    <w:name w:val="footer"/>
    <w:basedOn w:val="Normal"/>
    <w:link w:val="PiedepginaCar1"/>
    <w:uiPriority w:val="99"/>
    <w:semiHidden/>
    <w:unhideWhenUsed/>
    <w:rsid w:val="00886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8860D5"/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1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17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7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30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440704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68020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6146798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45310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172816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67976837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12696599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435995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2654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75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2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006D1-2D68-484B-912D-4B8564BC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1797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Mayra</dc:creator>
  <cp:lastModifiedBy>Ruth Mencia</cp:lastModifiedBy>
  <cp:revision>4</cp:revision>
  <cp:lastPrinted>2025-03-11T12:21:00Z</cp:lastPrinted>
  <dcterms:created xsi:type="dcterms:W3CDTF">2025-08-21T12:55:00Z</dcterms:created>
  <dcterms:modified xsi:type="dcterms:W3CDTF">2025-09-10T18:18:00Z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